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8F98A" w14:textId="77777777" w:rsidR="00170A61" w:rsidRDefault="00170A61" w:rsidP="00447260">
      <w:pPr>
        <w:jc w:val="center"/>
        <w:rPr>
          <w:b/>
        </w:rPr>
      </w:pPr>
    </w:p>
    <w:p w14:paraId="0F6850CB" w14:textId="77777777" w:rsidR="00170A61" w:rsidRDefault="00170A61" w:rsidP="00447260">
      <w:pPr>
        <w:jc w:val="center"/>
        <w:rPr>
          <w:b/>
        </w:rPr>
      </w:pPr>
    </w:p>
    <w:p w14:paraId="2B0E7DDD" w14:textId="77777777" w:rsidR="00170A61" w:rsidRDefault="00170A61" w:rsidP="00447260">
      <w:pPr>
        <w:jc w:val="center"/>
        <w:rPr>
          <w:b/>
        </w:rPr>
      </w:pPr>
    </w:p>
    <w:p w14:paraId="115A9902" w14:textId="77777777" w:rsidR="00170A61" w:rsidRDefault="00170A61" w:rsidP="00447260">
      <w:pPr>
        <w:jc w:val="center"/>
        <w:rPr>
          <w:b/>
        </w:rPr>
      </w:pPr>
    </w:p>
    <w:p w14:paraId="06664342" w14:textId="77777777" w:rsidR="00170A61" w:rsidRDefault="00170A61" w:rsidP="00447260">
      <w:pPr>
        <w:jc w:val="center"/>
        <w:rPr>
          <w:b/>
        </w:rPr>
      </w:pPr>
    </w:p>
    <w:p w14:paraId="4DDAFCB2" w14:textId="77777777" w:rsidR="00170A61" w:rsidRDefault="00170A61" w:rsidP="00447260">
      <w:pPr>
        <w:jc w:val="center"/>
        <w:rPr>
          <w:b/>
        </w:rPr>
      </w:pPr>
    </w:p>
    <w:p w14:paraId="2578C644" w14:textId="77777777" w:rsidR="00170A61" w:rsidRDefault="00170A61" w:rsidP="00447260">
      <w:pPr>
        <w:jc w:val="center"/>
        <w:rPr>
          <w:b/>
        </w:rPr>
      </w:pPr>
    </w:p>
    <w:p w14:paraId="2871BE0F" w14:textId="77777777" w:rsidR="00170A61" w:rsidRDefault="00170A61" w:rsidP="00447260">
      <w:pPr>
        <w:jc w:val="center"/>
        <w:rPr>
          <w:b/>
        </w:rPr>
      </w:pPr>
    </w:p>
    <w:p w14:paraId="070662D1" w14:textId="2E94FB06" w:rsidR="0096185D" w:rsidRDefault="0096185D" w:rsidP="00447260">
      <w:pPr>
        <w:jc w:val="center"/>
        <w:rPr>
          <w:b/>
        </w:rPr>
      </w:pPr>
      <w:r w:rsidRPr="00447260">
        <w:rPr>
          <w:b/>
        </w:rPr>
        <w:t>Commitment to Diversity</w:t>
      </w:r>
      <w:r w:rsidR="00447260">
        <w:rPr>
          <w:b/>
        </w:rPr>
        <w:t>, Equity, and Inclusion in Healthcare Statement</w:t>
      </w:r>
    </w:p>
    <w:p w14:paraId="246EEA26" w14:textId="4E198CE5" w:rsidR="00170A61" w:rsidRDefault="00170A61" w:rsidP="00447260">
      <w:pPr>
        <w:jc w:val="center"/>
        <w:rPr>
          <w:b/>
        </w:rPr>
      </w:pPr>
    </w:p>
    <w:p w14:paraId="453F05E8" w14:textId="24F37991" w:rsidR="00170A61" w:rsidRDefault="00170A61" w:rsidP="00447260">
      <w:pPr>
        <w:jc w:val="center"/>
      </w:pPr>
      <w:r>
        <w:t>Name</w:t>
      </w:r>
    </w:p>
    <w:p w14:paraId="75A1F5B5" w14:textId="1B13AD96" w:rsidR="00170A61" w:rsidRDefault="00170A61" w:rsidP="00447260">
      <w:pPr>
        <w:jc w:val="center"/>
      </w:pPr>
      <w:r>
        <w:t>School Affiliation</w:t>
      </w:r>
    </w:p>
    <w:p w14:paraId="5CF7253D" w14:textId="5E1CEC6C" w:rsidR="00170A61" w:rsidRDefault="00170A61" w:rsidP="00447260">
      <w:pPr>
        <w:jc w:val="center"/>
      </w:pPr>
      <w:r>
        <w:t>Course</w:t>
      </w:r>
    </w:p>
    <w:p w14:paraId="16A6E0A6" w14:textId="519B6CDA" w:rsidR="00170A61" w:rsidRDefault="00170A61" w:rsidP="00447260">
      <w:pPr>
        <w:jc w:val="center"/>
      </w:pPr>
      <w:r>
        <w:t>Instructor</w:t>
      </w:r>
    </w:p>
    <w:p w14:paraId="52ABC0BC" w14:textId="0A4CBC3F" w:rsidR="00170A61" w:rsidRDefault="00170A61" w:rsidP="00447260">
      <w:pPr>
        <w:jc w:val="center"/>
      </w:pPr>
      <w:r>
        <w:t>Date Due</w:t>
      </w:r>
    </w:p>
    <w:p w14:paraId="3CDE7E60" w14:textId="3EA2F946" w:rsidR="00170A61" w:rsidRDefault="00170A61">
      <w:bookmarkStart w:id="0" w:name="_GoBack"/>
      <w:bookmarkEnd w:id="0"/>
      <w:r>
        <w:br w:type="page"/>
      </w:r>
    </w:p>
    <w:p w14:paraId="0D41C873" w14:textId="2FB3AB56" w:rsidR="00170A61" w:rsidRPr="00170A61" w:rsidRDefault="00170A61" w:rsidP="00447260">
      <w:pPr>
        <w:jc w:val="center"/>
      </w:pPr>
      <w:r w:rsidRPr="00447260">
        <w:rPr>
          <w:b/>
        </w:rPr>
        <w:lastRenderedPageBreak/>
        <w:t>Commitment to Diversity</w:t>
      </w:r>
      <w:r>
        <w:rPr>
          <w:b/>
        </w:rPr>
        <w:t>, Equity, and Inclusion in Healthcare Statement</w:t>
      </w:r>
    </w:p>
    <w:p w14:paraId="1B09A027" w14:textId="7A268474" w:rsidR="0096185D" w:rsidRDefault="00E32AA2" w:rsidP="00E32AA2">
      <w:pPr>
        <w:pStyle w:val="NormalWeb"/>
        <w:spacing w:before="0" w:beforeAutospacing="0" w:after="0" w:afterAutospacing="0" w:line="480" w:lineRule="auto"/>
        <w:ind w:firstLine="720"/>
      </w:pPr>
      <w:r>
        <w:t xml:space="preserve">The current healthcare landscape characterizes growing </w:t>
      </w:r>
      <w:r>
        <w:t>demographic diversity, persistent health disparities, and structural inequities</w:t>
      </w:r>
      <w:r>
        <w:t xml:space="preserve">. The </w:t>
      </w:r>
      <w:r>
        <w:t xml:space="preserve">American Association of Colleges of Nursing (AACN, 2021) </w:t>
      </w:r>
      <w:r>
        <w:t xml:space="preserve">underscores the importance of diversity, equity, and inclusion in ensuring respectful, safe, quality, effective, and culturally congruent care for all, </w:t>
      </w:r>
      <w:r>
        <w:t>regardless of background.</w:t>
      </w:r>
      <w:r>
        <w:t xml:space="preserve"> </w:t>
      </w:r>
      <w:r>
        <w:t>Therefore, I am committed to advancing diversity, equity, and inclusion (DEI) as foundational principles in the transformation of healthcare.</w:t>
      </w:r>
    </w:p>
    <w:p w14:paraId="5B51C2CC" w14:textId="77777777" w:rsidR="0096185D" w:rsidRDefault="0096185D" w:rsidP="00170A61">
      <w:pPr>
        <w:pStyle w:val="NormalWeb"/>
        <w:spacing w:before="0" w:beforeAutospacing="0" w:after="0" w:afterAutospacing="0" w:line="480" w:lineRule="auto"/>
        <w:jc w:val="center"/>
      </w:pPr>
      <w:r>
        <w:rPr>
          <w:rStyle w:val="Strong"/>
        </w:rPr>
        <w:t>Promoting a Sense of Belonging Among Healthcare Teams</w:t>
      </w:r>
    </w:p>
    <w:p w14:paraId="6AAAE2A6" w14:textId="5BC78355" w:rsidR="0096185D" w:rsidRDefault="00E32AA2" w:rsidP="00E32AA2">
      <w:pPr>
        <w:pStyle w:val="NormalWeb"/>
        <w:spacing w:before="0" w:beforeAutospacing="0" w:after="0" w:afterAutospacing="0" w:line="480" w:lineRule="auto"/>
        <w:ind w:firstLine="720"/>
      </w:pPr>
      <w:r>
        <w:t>Fostering</w:t>
      </w:r>
      <w:r w:rsidR="0096185D">
        <w:t xml:space="preserve"> a sense of belonging among healthcare team members </w:t>
      </w:r>
      <w:r>
        <w:t>will be</w:t>
      </w:r>
      <w:r w:rsidR="0096185D">
        <w:t xml:space="preserve"> a cornerstone of my leadership. I believe that belonging is cultivated through inclusive organizational culture, equitable opportunities, and psychological safety. As supported by </w:t>
      </w:r>
      <w:proofErr w:type="spellStart"/>
      <w:r w:rsidR="0096185D">
        <w:t>Khuntia</w:t>
      </w:r>
      <w:proofErr w:type="spellEnd"/>
      <w:r w:rsidR="0096185D">
        <w:t xml:space="preserve"> et al. (2022), when staff feel seen, heard, and respected, they are more engaged, collaborative, and innovative. I</w:t>
      </w:r>
      <w:r>
        <w:t>n this regard, I</w:t>
      </w:r>
      <w:r w:rsidR="0096185D">
        <w:t xml:space="preserve"> will advocate for DEI training focused on </w:t>
      </w:r>
      <w:r>
        <w:t xml:space="preserve">eliminating </w:t>
      </w:r>
      <w:r w:rsidR="0096185D">
        <w:t>unconscious bias,</w:t>
      </w:r>
      <w:r>
        <w:t xml:space="preserve"> improving</w:t>
      </w:r>
      <w:r w:rsidR="0096185D">
        <w:t xml:space="preserve"> cultural </w:t>
      </w:r>
      <w:r>
        <w:t>competence</w:t>
      </w:r>
      <w:r w:rsidR="0096185D">
        <w:t xml:space="preserve">, and </w:t>
      </w:r>
      <w:r>
        <w:t xml:space="preserve">enhancing </w:t>
      </w:r>
      <w:r w:rsidR="0096185D">
        <w:t xml:space="preserve">inclusive communication to foster empathy and reduce microaggressions in the workplace. </w:t>
      </w:r>
      <w:r w:rsidR="00654FD2">
        <w:t>As supported by the literature (</w:t>
      </w:r>
      <w:r w:rsidR="005B0211">
        <w:rPr>
          <w:rFonts w:ascii="Consolas" w:hAnsi="Consolas"/>
          <w:color w:val="1B1B1B"/>
          <w:shd w:val="clear" w:color="auto" w:fill="FFFFFF"/>
        </w:rPr>
        <w:t>Gularte-Rinaldo</w:t>
      </w:r>
      <w:r w:rsidR="005B0211">
        <w:t xml:space="preserve"> et al., 2023; Swenson et al., 2025</w:t>
      </w:r>
      <w:r w:rsidR="00654FD2">
        <w:t xml:space="preserve">), mentoring other healthcare professionals and novice nurses during the transitional period would create a sense of belonging by addressing the “reality” shock that new graduates experience. </w:t>
      </w:r>
      <w:r w:rsidR="00654FD2">
        <w:t>Besides, supporting</w:t>
      </w:r>
      <w:r w:rsidR="0096185D">
        <w:t xml:space="preserve"> inclusive hiring, onboarding, and retention strategies </w:t>
      </w:r>
      <w:r w:rsidR="00654FD2">
        <w:t>focused on</w:t>
      </w:r>
      <w:r w:rsidR="0096185D">
        <w:t xml:space="preserve"> team diversity </w:t>
      </w:r>
      <w:r w:rsidR="00654FD2">
        <w:t>could embed a sense of belonging by disrupting systemic inequities and creating an inclusive environment (</w:t>
      </w:r>
      <w:r w:rsidR="00170A61">
        <w:t>Boland et al., 2025</w:t>
      </w:r>
      <w:r w:rsidR="00654FD2">
        <w:t xml:space="preserve">). </w:t>
      </w:r>
    </w:p>
    <w:p w14:paraId="38C5F2A4" w14:textId="77777777" w:rsidR="0096185D" w:rsidRDefault="0096185D" w:rsidP="00170A61">
      <w:pPr>
        <w:pStyle w:val="NormalWeb"/>
        <w:spacing w:before="0" w:beforeAutospacing="0" w:after="0" w:afterAutospacing="0" w:line="480" w:lineRule="auto"/>
        <w:jc w:val="center"/>
      </w:pPr>
      <w:r>
        <w:rPr>
          <w:rStyle w:val="Strong"/>
        </w:rPr>
        <w:t>Upholding Dignity for All Patient Populations</w:t>
      </w:r>
    </w:p>
    <w:p w14:paraId="1CFA4C7B" w14:textId="76D06A25" w:rsidR="0096185D" w:rsidRDefault="00B0772C" w:rsidP="00C86C83">
      <w:pPr>
        <w:pStyle w:val="NormalWeb"/>
        <w:spacing w:before="0" w:beforeAutospacing="0" w:after="0" w:afterAutospacing="0" w:line="480" w:lineRule="auto"/>
        <w:ind w:firstLine="720"/>
      </w:pPr>
      <w:r>
        <w:t xml:space="preserve">Every patient has a right to receive dignified care, regardless of their background. </w:t>
      </w:r>
      <w:proofErr w:type="spellStart"/>
      <w:r w:rsidR="00C86C83" w:rsidRPr="00170A61">
        <w:t>Laranjeira</w:t>
      </w:r>
      <w:proofErr w:type="spellEnd"/>
      <w:r w:rsidR="00C86C83">
        <w:t xml:space="preserve"> (2023) argued that upholding patient dignity involves more than respectful language; </w:t>
      </w:r>
      <w:r w:rsidR="00C86C83">
        <w:lastRenderedPageBreak/>
        <w:t>it requires fostering trust, honoring their voice, and safeguarding their right to autonomy and self-determination.</w:t>
      </w:r>
      <w:r w:rsidR="00C86C83">
        <w:t xml:space="preserve"> Consequently, I will take it as a personal and professional responsibility to foster a </w:t>
      </w:r>
      <w:r w:rsidR="0096185D">
        <w:t>healthcare environment respects patients’ autonomy, values, preferences, and cultural identities.</w:t>
      </w:r>
      <w:r w:rsidR="00C86C83">
        <w:t xml:space="preserve"> </w:t>
      </w:r>
      <w:r w:rsidR="006C0E06">
        <w:t>In addition, I will exercise and encourage other team members to engage in shared decision-making, which is considered critical to upholding patients’ dignity by respecting their autonomy in care decisions (</w:t>
      </w:r>
      <w:proofErr w:type="spellStart"/>
      <w:r w:rsidR="006C0E06" w:rsidRPr="00170A61">
        <w:t>Montori</w:t>
      </w:r>
      <w:proofErr w:type="spellEnd"/>
      <w:r w:rsidR="006C0E06" w:rsidRPr="00170A61">
        <w:t xml:space="preserve"> et al., 2023</w:t>
      </w:r>
      <w:r w:rsidR="006C0E06">
        <w:t xml:space="preserve">). </w:t>
      </w:r>
      <w:r w:rsidR="00C86C83">
        <w:t xml:space="preserve">Consistent with </w:t>
      </w:r>
      <w:proofErr w:type="spellStart"/>
      <w:r w:rsidR="00C86C83" w:rsidRPr="00170A61">
        <w:rPr>
          <w:color w:val="1B1B1B"/>
          <w:shd w:val="clear" w:color="auto" w:fill="FFFFFF"/>
        </w:rPr>
        <w:t>Červený</w:t>
      </w:r>
      <w:proofErr w:type="spellEnd"/>
      <w:r w:rsidR="00C86C83" w:rsidRPr="00170A61">
        <w:rPr>
          <w:color w:val="1B1B1B"/>
          <w:shd w:val="clear" w:color="auto" w:fill="FFFFFF"/>
        </w:rPr>
        <w:t xml:space="preserve"> et al. </w:t>
      </w:r>
      <w:r w:rsidR="00C86C83" w:rsidRPr="00170A61">
        <w:rPr>
          <w:color w:val="1B1B1B"/>
          <w:shd w:val="clear" w:color="auto" w:fill="FFFFFF"/>
        </w:rPr>
        <w:t>(</w:t>
      </w:r>
      <w:r w:rsidR="00C86C83" w:rsidRPr="00170A61">
        <w:rPr>
          <w:color w:val="1B1B1B"/>
          <w:shd w:val="clear" w:color="auto" w:fill="FFFFFF"/>
        </w:rPr>
        <w:t>2022</w:t>
      </w:r>
      <w:r w:rsidR="00C86C83">
        <w:rPr>
          <w:color w:val="1B1B1B"/>
          <w:shd w:val="clear" w:color="auto" w:fill="FFFFFF"/>
        </w:rPr>
        <w:t>),</w:t>
      </w:r>
      <w:r w:rsidR="0096185D">
        <w:t xml:space="preserve"> I will advocate for routine staff education on cultural competence, trauma-informed care, and patient-centered communication. </w:t>
      </w:r>
      <w:r w:rsidR="00C86C83">
        <w:t>Ongoing training on</w:t>
      </w:r>
      <w:r w:rsidR="006C0E06">
        <w:t xml:space="preserve"> areas such as cultural competence and therapeutic communication will impart essential skills for engaging patients from diverse sociocultural and economic backgrounds. </w:t>
      </w:r>
    </w:p>
    <w:p w14:paraId="4954C86D" w14:textId="1D7BBEA7" w:rsidR="0096185D" w:rsidRDefault="0096185D" w:rsidP="00170A61">
      <w:pPr>
        <w:pStyle w:val="NormalWeb"/>
        <w:spacing w:before="0" w:beforeAutospacing="0" w:after="0" w:afterAutospacing="0" w:line="480" w:lineRule="auto"/>
        <w:jc w:val="center"/>
      </w:pPr>
      <w:r>
        <w:rPr>
          <w:rStyle w:val="Strong"/>
        </w:rPr>
        <w:t xml:space="preserve">Advancing Justice for </w:t>
      </w:r>
      <w:r w:rsidR="006C0E06">
        <w:rPr>
          <w:rStyle w:val="Strong"/>
        </w:rPr>
        <w:t>t</w:t>
      </w:r>
      <w:r>
        <w:rPr>
          <w:rStyle w:val="Strong"/>
        </w:rPr>
        <w:t>hose with Limited Access to Healthcare</w:t>
      </w:r>
    </w:p>
    <w:p w14:paraId="2B07CB16" w14:textId="2E9BED97" w:rsidR="0096185D" w:rsidRDefault="006C0E06" w:rsidP="005B0211">
      <w:pPr>
        <w:pStyle w:val="NormalWeb"/>
        <w:spacing w:before="0" w:beforeAutospacing="0" w:after="0" w:afterAutospacing="0" w:line="480" w:lineRule="auto"/>
        <w:ind w:firstLine="720"/>
      </w:pPr>
      <w:r>
        <w:t>Promoting j</w:t>
      </w:r>
      <w:r w:rsidR="0096185D">
        <w:t xml:space="preserve">ustice requires </w:t>
      </w:r>
      <w:r>
        <w:t>deliberate</w:t>
      </w:r>
      <w:r w:rsidR="0096185D">
        <w:t xml:space="preserve"> action </w:t>
      </w:r>
      <w:r>
        <w:t>focused on</w:t>
      </w:r>
      <w:r w:rsidR="0096185D">
        <w:t xml:space="preserve"> eliminat</w:t>
      </w:r>
      <w:r>
        <w:t>ing</w:t>
      </w:r>
      <w:r w:rsidR="0096185D">
        <w:t xml:space="preserve"> barriers and expand</w:t>
      </w:r>
      <w:r>
        <w:t>ing</w:t>
      </w:r>
      <w:r w:rsidR="0096185D">
        <w:t xml:space="preserve"> access </w:t>
      </w:r>
      <w:r>
        <w:t xml:space="preserve">to care </w:t>
      </w:r>
      <w:r w:rsidR="0096185D">
        <w:t xml:space="preserve">for historically marginalized groups. </w:t>
      </w:r>
      <w:r w:rsidR="002A541C">
        <w:t xml:space="preserve">Advancing justice for disadvantaged or marginalized populations requires focusing on care </w:t>
      </w:r>
      <w:r w:rsidR="0096185D">
        <w:t>approachability, availability, affordability, and appropriateness</w:t>
      </w:r>
      <w:r w:rsidR="002A541C">
        <w:t xml:space="preserve"> (</w:t>
      </w:r>
      <w:r w:rsidR="002A541C" w:rsidRPr="00170A61">
        <w:t>Jindal et al.</w:t>
      </w:r>
      <w:r w:rsidR="002A541C" w:rsidRPr="00170A61">
        <w:t xml:space="preserve">, </w:t>
      </w:r>
      <w:r w:rsidR="002A541C" w:rsidRPr="00170A61">
        <w:t>2023</w:t>
      </w:r>
      <w:r w:rsidR="002A541C">
        <w:t>).</w:t>
      </w:r>
      <w:r w:rsidR="0096185D">
        <w:t xml:space="preserve"> As a DNP-prepared leader, I will </w:t>
      </w:r>
      <w:r w:rsidR="002A541C">
        <w:t xml:space="preserve">advocate for health policies that address </w:t>
      </w:r>
      <w:r w:rsidR="0096185D">
        <w:t>structural inequ</w:t>
      </w:r>
      <w:r w:rsidR="002A541C">
        <w:t>alities that influence access to care</w:t>
      </w:r>
      <w:proofErr w:type="gramStart"/>
      <w:r w:rsidR="002A541C">
        <w:t xml:space="preserve">. </w:t>
      </w:r>
      <w:proofErr w:type="gramEnd"/>
      <w:r w:rsidR="002A541C">
        <w:t xml:space="preserve">For instance, </w:t>
      </w:r>
      <w:r w:rsidR="0096185D">
        <w:t xml:space="preserve">I will champion community partnerships </w:t>
      </w:r>
      <w:r w:rsidR="002A541C">
        <w:t>in</w:t>
      </w:r>
      <w:r w:rsidR="0096185D">
        <w:t xml:space="preserve"> co-design</w:t>
      </w:r>
      <w:r w:rsidR="002A541C">
        <w:t>ing and implementing</w:t>
      </w:r>
      <w:r w:rsidR="0096185D">
        <w:t xml:space="preserve"> outreach programs t</w:t>
      </w:r>
      <w:r w:rsidR="002A541C">
        <w:t>argeting unique needs in underserved communities</w:t>
      </w:r>
      <w:r w:rsidR="0096185D">
        <w:t>.</w:t>
      </w:r>
      <w:r w:rsidR="002A541C">
        <w:t xml:space="preserve"> As supported by </w:t>
      </w:r>
      <w:r w:rsidR="005B0211">
        <w:t>the literature (</w:t>
      </w:r>
      <w:proofErr w:type="spellStart"/>
      <w:r w:rsidR="00170A61">
        <w:t>Lighterness</w:t>
      </w:r>
      <w:proofErr w:type="spellEnd"/>
      <w:r w:rsidR="00170A61">
        <w:t xml:space="preserve"> et al., 2024; Philippe et al., 2022</w:t>
      </w:r>
      <w:r w:rsidR="005B0211">
        <w:t>)</w:t>
      </w:r>
      <w:r w:rsidR="002A541C">
        <w:t xml:space="preserve">, advocating data-driven improvements in healthcare settings could also promote justice by enhancing care delivery to underserved populations. For instance, this would involve using real-world data </w:t>
      </w:r>
      <w:r w:rsidR="005B0211">
        <w:t xml:space="preserve">to identify service gaps and advocate increased adoption of digital health interventions for people with limited or no access to care. In summary, </w:t>
      </w:r>
      <w:r w:rsidR="0096185D">
        <w:t xml:space="preserve">my commitment to DEI as a DNP-prepared nurse leader is </w:t>
      </w:r>
      <w:r w:rsidR="005B0211">
        <w:t xml:space="preserve">an intentional and </w:t>
      </w:r>
      <w:r w:rsidR="0096185D">
        <w:lastRenderedPageBreak/>
        <w:t xml:space="preserve">enduring </w:t>
      </w:r>
      <w:r w:rsidR="005B0211">
        <w:t>endeavor. I</w:t>
      </w:r>
      <w:r w:rsidR="0096185D">
        <w:t xml:space="preserve">nclusive leadership, </w:t>
      </w:r>
      <w:r w:rsidR="005B0211">
        <w:t xml:space="preserve">dignified care, and advocacy for </w:t>
      </w:r>
      <w:r w:rsidR="0096185D">
        <w:t>social justice</w:t>
      </w:r>
      <w:r w:rsidR="005B0211">
        <w:t xml:space="preserve"> will continue </w:t>
      </w:r>
      <w:r w:rsidR="0096185D">
        <w:t>shap</w:t>
      </w:r>
      <w:r w:rsidR="005B0211">
        <w:t xml:space="preserve">ing my efforts at improving care delivery, especially to marginalized populations. </w:t>
      </w:r>
    </w:p>
    <w:p w14:paraId="6B0E7259" w14:textId="2445ACD5" w:rsidR="005B0211" w:rsidRDefault="005B0211">
      <w:pPr>
        <w:rPr>
          <w:rFonts w:eastAsia="Times New Roman" w:cs="Times New Roman"/>
          <w:szCs w:val="24"/>
          <w:lang w:eastAsia="en-GB"/>
        </w:rPr>
      </w:pPr>
      <w:r>
        <w:br w:type="page"/>
      </w:r>
    </w:p>
    <w:p w14:paraId="20041B75" w14:textId="6210B587" w:rsidR="005B0211" w:rsidRDefault="005B0211" w:rsidP="005B0211">
      <w:pPr>
        <w:pStyle w:val="NormalWeb"/>
        <w:spacing w:before="0" w:beforeAutospacing="0" w:after="0" w:afterAutospacing="0" w:line="480" w:lineRule="auto"/>
        <w:jc w:val="center"/>
        <w:rPr>
          <w:b/>
        </w:rPr>
      </w:pPr>
      <w:r>
        <w:rPr>
          <w:b/>
        </w:rPr>
        <w:lastRenderedPageBreak/>
        <w:t>References</w:t>
      </w:r>
    </w:p>
    <w:p w14:paraId="7A9AE08A" w14:textId="77777777" w:rsidR="00170A61" w:rsidRPr="00170A61" w:rsidRDefault="00170A61" w:rsidP="005B0211">
      <w:pPr>
        <w:ind w:left="720" w:hanging="720"/>
        <w:rPr>
          <w:rFonts w:cs="Times New Roman"/>
          <w:color w:val="222222"/>
          <w:shd w:val="clear" w:color="auto" w:fill="FFFFFF"/>
        </w:rPr>
      </w:pPr>
      <w:r w:rsidRPr="00170A61">
        <w:rPr>
          <w:rFonts w:cs="Times New Roman"/>
          <w:color w:val="222222"/>
          <w:shd w:val="clear" w:color="auto" w:fill="FFFFFF"/>
        </w:rPr>
        <w:t>American Association of Colleges of Nursing. (2021, February). </w:t>
      </w:r>
      <w:r w:rsidRPr="00170A61">
        <w:rPr>
          <w:rFonts w:cs="Times New Roman"/>
          <w:i/>
          <w:iCs/>
          <w:color w:val="222222"/>
          <w:shd w:val="clear" w:color="auto" w:fill="FFFFFF"/>
        </w:rPr>
        <w:t>The essentials: Core competencies for professional nursing education</w:t>
      </w:r>
      <w:r w:rsidRPr="00170A61">
        <w:rPr>
          <w:rFonts w:cs="Times New Roman"/>
          <w:color w:val="222222"/>
          <w:shd w:val="clear" w:color="auto" w:fill="FFFFFF"/>
        </w:rPr>
        <w:t xml:space="preserve">. AACN. </w:t>
      </w:r>
      <w:hyperlink r:id="rId6" w:history="1">
        <w:r w:rsidRPr="00170A61">
          <w:rPr>
            <w:rStyle w:val="Hyperlink"/>
            <w:rFonts w:cs="Times New Roman"/>
            <w:shd w:val="clear" w:color="auto" w:fill="FFFFFF"/>
          </w:rPr>
          <w:t>https://www.aacnnursing.org/Portals/0/PDFs/Publications/Essentials-2021.pdf</w:t>
        </w:r>
      </w:hyperlink>
      <w:r w:rsidRPr="00170A61">
        <w:rPr>
          <w:rFonts w:cs="Times New Roman"/>
          <w:color w:val="222222"/>
          <w:shd w:val="clear" w:color="auto" w:fill="FFFFFF"/>
        </w:rPr>
        <w:t xml:space="preserve"> </w:t>
      </w:r>
    </w:p>
    <w:p w14:paraId="22A50DBD" w14:textId="77777777" w:rsidR="00170A61" w:rsidRPr="00170A61" w:rsidRDefault="00170A61" w:rsidP="005B0211">
      <w:pPr>
        <w:ind w:left="720" w:hanging="720"/>
        <w:rPr>
          <w:rFonts w:cs="Times New Roman"/>
          <w:color w:val="1B1B1B"/>
          <w:shd w:val="clear" w:color="auto" w:fill="FFFFFF"/>
        </w:rPr>
      </w:pPr>
      <w:r w:rsidRPr="00170A61">
        <w:rPr>
          <w:rFonts w:cs="Times New Roman"/>
          <w:color w:val="1B1B1B"/>
          <w:shd w:val="clear" w:color="auto" w:fill="FFFFFF"/>
        </w:rPr>
        <w:t>Boland, E. M., Martin, I., Jordan, B., Decker-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Tonnesen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P., &amp;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Bhagra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A. (2025). Enhancing </w:t>
      </w:r>
      <w:r w:rsidRPr="00170A61">
        <w:rPr>
          <w:rFonts w:cs="Times New Roman"/>
          <w:color w:val="1B1B1B"/>
          <w:shd w:val="clear" w:color="auto" w:fill="FFFFFF"/>
        </w:rPr>
        <w:t xml:space="preserve">belonging in healthcare: </w:t>
      </w:r>
      <w:r w:rsidRPr="00170A61">
        <w:rPr>
          <w:rFonts w:cs="Times New Roman"/>
          <w:color w:val="1B1B1B"/>
          <w:shd w:val="clear" w:color="auto" w:fill="FFFFFF"/>
        </w:rPr>
        <w:t xml:space="preserve">A </w:t>
      </w:r>
      <w:r w:rsidRPr="00170A61">
        <w:rPr>
          <w:rFonts w:cs="Times New Roman"/>
          <w:color w:val="1B1B1B"/>
          <w:shd w:val="clear" w:color="auto" w:fill="FFFFFF"/>
        </w:rPr>
        <w:t>commentary on strategies for organizational leadership</w:t>
      </w:r>
      <w:r w:rsidRPr="00170A61">
        <w:rPr>
          <w:rFonts w:cs="Times New Roman"/>
          <w:color w:val="1B1B1B"/>
          <w:shd w:val="clear" w:color="auto" w:fill="FFFFFF"/>
        </w:rPr>
        <w:t>.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Journal of healthcare leadership</w:t>
      </w:r>
      <w:r w:rsidRPr="00170A61">
        <w:rPr>
          <w:rFonts w:cs="Times New Roman"/>
          <w:color w:val="1B1B1B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17</w:t>
      </w:r>
      <w:r w:rsidRPr="00170A61">
        <w:rPr>
          <w:rFonts w:cs="Times New Roman"/>
          <w:color w:val="1B1B1B"/>
          <w:shd w:val="clear" w:color="auto" w:fill="FFFFFF"/>
        </w:rPr>
        <w:t xml:space="preserve">, 117–121. </w:t>
      </w:r>
      <w:hyperlink r:id="rId7" w:history="1">
        <w:r w:rsidRPr="00170A61">
          <w:rPr>
            <w:rStyle w:val="Hyperlink"/>
            <w:rFonts w:cs="Times New Roman"/>
            <w:shd w:val="clear" w:color="auto" w:fill="FFFFFF"/>
          </w:rPr>
          <w:t>https://doi.org/10.2147/JHL.S473636</w:t>
        </w:r>
      </w:hyperlink>
      <w:r w:rsidRPr="00170A61">
        <w:rPr>
          <w:rFonts w:cs="Times New Roman"/>
          <w:color w:val="1B1B1B"/>
          <w:shd w:val="clear" w:color="auto" w:fill="FFFFFF"/>
        </w:rPr>
        <w:t xml:space="preserve"> </w:t>
      </w:r>
    </w:p>
    <w:p w14:paraId="310CCC06" w14:textId="77777777" w:rsidR="00170A61" w:rsidRPr="00170A61" w:rsidRDefault="00170A61" w:rsidP="005B0211">
      <w:pPr>
        <w:ind w:left="720" w:hanging="720"/>
        <w:rPr>
          <w:rFonts w:cs="Times New Roman"/>
          <w:color w:val="1B1B1B"/>
          <w:szCs w:val="24"/>
          <w:shd w:val="clear" w:color="auto" w:fill="FFFFFF"/>
        </w:rPr>
      </w:pP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Červený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 xml:space="preserve">, M., </w:t>
      </w: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Kratochvílová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 xml:space="preserve">, I., </w:t>
      </w: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Hellerová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 xml:space="preserve">, V., &amp; </w:t>
      </w: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Tóthová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>, V. (2022). Methods of increasing cultural competence in nurses working in clinical practice: A scoping review of literature 2011-2021.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Frontiers in Psychology</w:t>
      </w:r>
      <w:r w:rsidRPr="00170A61">
        <w:rPr>
          <w:rFonts w:cs="Times New Roman"/>
          <w:color w:val="1B1B1B"/>
          <w:szCs w:val="24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13</w:t>
      </w:r>
      <w:r w:rsidRPr="00170A61">
        <w:rPr>
          <w:rFonts w:cs="Times New Roman"/>
          <w:color w:val="1B1B1B"/>
          <w:szCs w:val="24"/>
          <w:shd w:val="clear" w:color="auto" w:fill="FFFFFF"/>
        </w:rPr>
        <w:t xml:space="preserve">, 936181. </w:t>
      </w:r>
      <w:hyperlink r:id="rId8" w:history="1">
        <w:r w:rsidRPr="00170A61">
          <w:rPr>
            <w:rStyle w:val="Hyperlink"/>
            <w:rFonts w:cs="Times New Roman"/>
            <w:szCs w:val="24"/>
            <w:shd w:val="clear" w:color="auto" w:fill="FFFFFF"/>
          </w:rPr>
          <w:t>https://doi.org/10.3389/fpsyg.2022.936181</w:t>
        </w:r>
      </w:hyperlink>
    </w:p>
    <w:p w14:paraId="52FBDD24" w14:textId="77777777" w:rsidR="00170A61" w:rsidRPr="00170A61" w:rsidRDefault="00170A61" w:rsidP="005B0211">
      <w:pPr>
        <w:ind w:left="720" w:hanging="720"/>
        <w:rPr>
          <w:rFonts w:cs="Times New Roman"/>
          <w:color w:val="1B1B1B"/>
          <w:shd w:val="clear" w:color="auto" w:fill="FFFFFF"/>
        </w:rPr>
      </w:pPr>
      <w:r w:rsidRPr="00170A61">
        <w:rPr>
          <w:rFonts w:cs="Times New Roman"/>
          <w:color w:val="1B1B1B"/>
          <w:shd w:val="clear" w:color="auto" w:fill="FFFFFF"/>
        </w:rPr>
        <w:t xml:space="preserve">Gularte-Rinaldo, J., Baumgardner, R., Tilton, T., &amp;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Brailoff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V. (2023). Mentorship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ReSPeCT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 </w:t>
      </w:r>
      <w:r w:rsidRPr="00170A61">
        <w:rPr>
          <w:rFonts w:cs="Times New Roman"/>
          <w:color w:val="1B1B1B"/>
          <w:shd w:val="clear" w:color="auto" w:fill="FFFFFF"/>
        </w:rPr>
        <w:t>study</w:t>
      </w:r>
      <w:r w:rsidRPr="00170A61">
        <w:rPr>
          <w:rFonts w:cs="Times New Roman"/>
          <w:color w:val="1B1B1B"/>
          <w:shd w:val="clear" w:color="auto" w:fill="FFFFFF"/>
        </w:rPr>
        <w:t xml:space="preserve">: A </w:t>
      </w:r>
      <w:r w:rsidRPr="00170A61">
        <w:rPr>
          <w:rFonts w:cs="Times New Roman"/>
          <w:color w:val="1B1B1B"/>
          <w:shd w:val="clear" w:color="auto" w:fill="FFFFFF"/>
        </w:rPr>
        <w:t>nurse mentorship program's impact on transition to practice and decision to remain in nursing for newly graduated nurses.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Nurse leader</w:t>
      </w:r>
      <w:r w:rsidRPr="00170A61">
        <w:rPr>
          <w:rFonts w:cs="Times New Roman"/>
          <w:color w:val="1B1B1B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21</w:t>
      </w:r>
      <w:r w:rsidRPr="00170A61">
        <w:rPr>
          <w:rFonts w:cs="Times New Roman"/>
          <w:color w:val="1B1B1B"/>
          <w:shd w:val="clear" w:color="auto" w:fill="FFFFFF"/>
        </w:rPr>
        <w:t xml:space="preserve">(2), 262–267. </w:t>
      </w:r>
      <w:hyperlink r:id="rId9" w:history="1">
        <w:r w:rsidRPr="00170A61">
          <w:rPr>
            <w:rStyle w:val="Hyperlink"/>
            <w:rFonts w:cs="Times New Roman"/>
            <w:shd w:val="clear" w:color="auto" w:fill="FFFFFF"/>
          </w:rPr>
          <w:t>https://doi.org/10.1016/j.mnl.2022.07.003</w:t>
        </w:r>
      </w:hyperlink>
      <w:r w:rsidRPr="00170A61">
        <w:rPr>
          <w:rFonts w:cs="Times New Roman"/>
          <w:color w:val="1B1B1B"/>
          <w:shd w:val="clear" w:color="auto" w:fill="FFFFFF"/>
        </w:rPr>
        <w:t xml:space="preserve"> </w:t>
      </w:r>
    </w:p>
    <w:p w14:paraId="235F9B8D" w14:textId="77777777" w:rsidR="00170A61" w:rsidRPr="00170A61" w:rsidRDefault="00170A61" w:rsidP="005B0211">
      <w:pPr>
        <w:ind w:left="720" w:hanging="720"/>
        <w:rPr>
          <w:rFonts w:cs="Times New Roman"/>
          <w:b/>
          <w:szCs w:val="24"/>
        </w:rPr>
      </w:pPr>
      <w:r w:rsidRPr="00170A61">
        <w:rPr>
          <w:rFonts w:cs="Times New Roman"/>
          <w:color w:val="1B1B1B"/>
          <w:szCs w:val="24"/>
          <w:shd w:val="clear" w:color="auto" w:fill="FFFFFF"/>
        </w:rPr>
        <w:t xml:space="preserve">Jindal, M., </w:t>
      </w: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Chaiyachati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>, K. H., Fung, V., Manson, S. M., &amp; Mortensen, K. (2023). Eliminating health care inequities through strengthening access to care.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Health Services Research</w:t>
      </w:r>
      <w:r w:rsidRPr="00170A61">
        <w:rPr>
          <w:rFonts w:cs="Times New Roman"/>
          <w:color w:val="1B1B1B"/>
          <w:szCs w:val="24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58 Suppl 3</w:t>
      </w:r>
      <w:r w:rsidRPr="00170A61">
        <w:rPr>
          <w:rFonts w:cs="Times New Roman"/>
          <w:color w:val="1B1B1B"/>
          <w:szCs w:val="24"/>
          <w:shd w:val="clear" w:color="auto" w:fill="FFFFFF"/>
        </w:rPr>
        <w:t xml:space="preserve">(Suppl 3), 300–310. </w:t>
      </w:r>
      <w:hyperlink r:id="rId10" w:history="1">
        <w:r w:rsidRPr="00170A61">
          <w:rPr>
            <w:rStyle w:val="Hyperlink"/>
            <w:rFonts w:cs="Times New Roman"/>
            <w:szCs w:val="24"/>
            <w:shd w:val="clear" w:color="auto" w:fill="FFFFFF"/>
          </w:rPr>
          <w:t>https://doi.org/10.1111/1475-6773.14202</w:t>
        </w:r>
      </w:hyperlink>
      <w:r w:rsidRPr="00170A61">
        <w:rPr>
          <w:rFonts w:cs="Times New Roman"/>
          <w:color w:val="1B1B1B"/>
          <w:shd w:val="clear" w:color="auto" w:fill="FFFFFF"/>
        </w:rPr>
        <w:t xml:space="preserve"> </w:t>
      </w:r>
    </w:p>
    <w:p w14:paraId="25DF3229" w14:textId="77777777" w:rsidR="00170A61" w:rsidRPr="00170A61" w:rsidRDefault="00170A61" w:rsidP="005B0211">
      <w:pPr>
        <w:ind w:left="720" w:hanging="720"/>
        <w:rPr>
          <w:rFonts w:cs="Times New Roman"/>
          <w:color w:val="1B1B1B"/>
          <w:szCs w:val="24"/>
          <w:shd w:val="clear" w:color="auto" w:fill="FFFFFF"/>
        </w:rPr>
      </w:pP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Khuntia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>, J., Ning, X., Cascio, W., &amp; Stacey, R. (2022). Valuing diversity and inclusion in health care to equip the workforce: Survey study and pathway analysis.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JMIR Formative Research</w:t>
      </w:r>
      <w:r w:rsidRPr="00170A61">
        <w:rPr>
          <w:rFonts w:cs="Times New Roman"/>
          <w:color w:val="1B1B1B"/>
          <w:szCs w:val="24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6</w:t>
      </w:r>
      <w:r w:rsidRPr="00170A61">
        <w:rPr>
          <w:rFonts w:cs="Times New Roman"/>
          <w:color w:val="1B1B1B"/>
          <w:szCs w:val="24"/>
          <w:shd w:val="clear" w:color="auto" w:fill="FFFFFF"/>
        </w:rPr>
        <w:t xml:space="preserve">(5), e34808. </w:t>
      </w:r>
      <w:hyperlink r:id="rId11" w:history="1">
        <w:r w:rsidRPr="00170A61">
          <w:rPr>
            <w:rStyle w:val="Hyperlink"/>
            <w:rFonts w:cs="Times New Roman"/>
            <w:szCs w:val="24"/>
            <w:shd w:val="clear" w:color="auto" w:fill="FFFFFF"/>
          </w:rPr>
          <w:t>https://doi.org/10.2196/34808</w:t>
        </w:r>
      </w:hyperlink>
    </w:p>
    <w:p w14:paraId="7E9422BC" w14:textId="77777777" w:rsidR="00170A61" w:rsidRPr="00170A61" w:rsidRDefault="00170A61" w:rsidP="005B0211">
      <w:pPr>
        <w:ind w:left="720" w:hanging="720"/>
        <w:rPr>
          <w:rFonts w:cs="Times New Roman"/>
          <w:color w:val="1B1B1B"/>
          <w:szCs w:val="24"/>
          <w:shd w:val="clear" w:color="auto" w:fill="FFFFFF"/>
        </w:rPr>
      </w:pP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lastRenderedPageBreak/>
        <w:t>Laranjeira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 xml:space="preserve"> C. (2023). Dignity promotion in people with advanced chronic diseases: contributions for a value-based healthcare practice.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Frontiers in Public Health</w:t>
      </w:r>
      <w:r w:rsidRPr="00170A61">
        <w:rPr>
          <w:rFonts w:cs="Times New Roman"/>
          <w:color w:val="1B1B1B"/>
          <w:szCs w:val="24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11</w:t>
      </w:r>
      <w:r w:rsidRPr="00170A61">
        <w:rPr>
          <w:rFonts w:cs="Times New Roman"/>
          <w:color w:val="1B1B1B"/>
          <w:szCs w:val="24"/>
          <w:shd w:val="clear" w:color="auto" w:fill="FFFFFF"/>
        </w:rPr>
        <w:t xml:space="preserve">, 1156830. </w:t>
      </w:r>
      <w:hyperlink r:id="rId12" w:history="1">
        <w:r w:rsidRPr="00170A61">
          <w:rPr>
            <w:rStyle w:val="Hyperlink"/>
            <w:rFonts w:cs="Times New Roman"/>
            <w:szCs w:val="24"/>
            <w:shd w:val="clear" w:color="auto" w:fill="FFFFFF"/>
          </w:rPr>
          <w:t>https://doi.org/10.3389/fpubh.2023.1156830</w:t>
        </w:r>
      </w:hyperlink>
      <w:r w:rsidRPr="00170A61">
        <w:rPr>
          <w:rFonts w:cs="Times New Roman"/>
          <w:color w:val="1B1B1B"/>
          <w:szCs w:val="24"/>
          <w:shd w:val="clear" w:color="auto" w:fill="FFFFFF"/>
        </w:rPr>
        <w:t xml:space="preserve"> </w:t>
      </w:r>
    </w:p>
    <w:p w14:paraId="14059051" w14:textId="77777777" w:rsidR="00170A61" w:rsidRPr="0096185D" w:rsidRDefault="00170A61" w:rsidP="005B0211">
      <w:pPr>
        <w:ind w:left="720" w:hanging="720"/>
      </w:pPr>
      <w:proofErr w:type="spellStart"/>
      <w:r w:rsidRPr="00170A61">
        <w:rPr>
          <w:rFonts w:cs="Times New Roman"/>
          <w:color w:val="1B1B1B"/>
          <w:shd w:val="clear" w:color="auto" w:fill="FFFFFF"/>
        </w:rPr>
        <w:t>Lighterness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A., Adcock, M., Scanlon, L. A., &amp; Price, G. (2024). Data </w:t>
      </w:r>
      <w:r w:rsidRPr="00170A61">
        <w:rPr>
          <w:rFonts w:cs="Times New Roman"/>
          <w:color w:val="1B1B1B"/>
          <w:shd w:val="clear" w:color="auto" w:fill="FFFFFF"/>
        </w:rPr>
        <w:t>quality-driven improvement in health care</w:t>
      </w:r>
      <w:r w:rsidRPr="00170A61">
        <w:rPr>
          <w:rFonts w:cs="Times New Roman"/>
          <w:color w:val="1B1B1B"/>
          <w:shd w:val="clear" w:color="auto" w:fill="FFFFFF"/>
        </w:rPr>
        <w:t xml:space="preserve">: Systematic </w:t>
      </w:r>
      <w:r w:rsidRPr="00170A61">
        <w:rPr>
          <w:rFonts w:cs="Times New Roman"/>
          <w:color w:val="1B1B1B"/>
          <w:shd w:val="clear" w:color="auto" w:fill="FFFFFF"/>
        </w:rPr>
        <w:t>literature review</w:t>
      </w:r>
      <w:r w:rsidRPr="00170A61">
        <w:rPr>
          <w:rFonts w:cs="Times New Roman"/>
          <w:color w:val="1B1B1B"/>
          <w:shd w:val="clear" w:color="auto" w:fill="FFFFFF"/>
        </w:rPr>
        <w:t>.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 xml:space="preserve">Journal of </w:t>
      </w:r>
      <w:r w:rsidRPr="00170A61">
        <w:rPr>
          <w:rFonts w:cs="Times New Roman"/>
          <w:i/>
          <w:iCs/>
          <w:color w:val="1B1B1B"/>
          <w:shd w:val="clear" w:color="auto" w:fill="FFFFFF"/>
        </w:rPr>
        <w:t xml:space="preserve">Medical </w:t>
      </w:r>
      <w:r w:rsidRPr="00170A61">
        <w:rPr>
          <w:rFonts w:cs="Times New Roman"/>
          <w:i/>
          <w:iCs/>
          <w:color w:val="1B1B1B"/>
          <w:shd w:val="clear" w:color="auto" w:fill="FFFFFF"/>
        </w:rPr>
        <w:t xml:space="preserve">Internet 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Research</w:t>
      </w:r>
      <w:r w:rsidRPr="00170A61">
        <w:rPr>
          <w:rFonts w:cs="Times New Roman"/>
          <w:color w:val="1B1B1B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26</w:t>
      </w:r>
      <w:r w:rsidRPr="00170A61">
        <w:rPr>
          <w:rFonts w:cs="Times New Roman"/>
          <w:color w:val="1B1B1B"/>
          <w:shd w:val="clear" w:color="auto" w:fill="FFFFFF"/>
        </w:rPr>
        <w:t xml:space="preserve">, e57615. </w:t>
      </w:r>
      <w:hyperlink r:id="rId13" w:history="1">
        <w:r w:rsidRPr="00170A61">
          <w:rPr>
            <w:rStyle w:val="Hyperlink"/>
            <w:rFonts w:cs="Times New Roman"/>
            <w:shd w:val="clear" w:color="auto" w:fill="FFFFFF"/>
          </w:rPr>
          <w:t>https://doi.org/10.2196/57615</w:t>
        </w:r>
      </w:hyperlink>
      <w:r>
        <w:rPr>
          <w:rFonts w:ascii="Consolas" w:hAnsi="Consolas"/>
          <w:color w:val="1B1B1B"/>
          <w:shd w:val="clear" w:color="auto" w:fill="FFFFFF"/>
        </w:rPr>
        <w:t xml:space="preserve"> </w:t>
      </w:r>
    </w:p>
    <w:p w14:paraId="347E3D62" w14:textId="77777777" w:rsidR="00170A61" w:rsidRPr="00170A61" w:rsidRDefault="00170A61" w:rsidP="00170A61">
      <w:pPr>
        <w:ind w:left="720" w:hanging="720"/>
        <w:rPr>
          <w:rFonts w:cs="Times New Roman"/>
          <w:color w:val="1B1B1B"/>
          <w:szCs w:val="24"/>
          <w:shd w:val="clear" w:color="auto" w:fill="FFFFFF"/>
        </w:rPr>
      </w:pP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Montori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 xml:space="preserve">, V. M., </w:t>
      </w: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Ruissen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 xml:space="preserve">, M. M., Hargraves, I. G., Brito, J. P., &amp; </w:t>
      </w:r>
      <w:proofErr w:type="spellStart"/>
      <w:r w:rsidRPr="00170A61">
        <w:rPr>
          <w:rFonts w:cs="Times New Roman"/>
          <w:color w:val="1B1B1B"/>
          <w:szCs w:val="24"/>
          <w:shd w:val="clear" w:color="auto" w:fill="FFFFFF"/>
        </w:rPr>
        <w:t>Kunneman</w:t>
      </w:r>
      <w:proofErr w:type="spellEnd"/>
      <w:r w:rsidRPr="00170A61">
        <w:rPr>
          <w:rFonts w:cs="Times New Roman"/>
          <w:color w:val="1B1B1B"/>
          <w:szCs w:val="24"/>
          <w:shd w:val="clear" w:color="auto" w:fill="FFFFFF"/>
        </w:rPr>
        <w:t>, M. (2023). Shared decision-making as a method of care.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BMJ Evidence-Based Medicine</w:t>
      </w:r>
      <w:r w:rsidRPr="00170A61">
        <w:rPr>
          <w:rFonts w:cs="Times New Roman"/>
          <w:color w:val="1B1B1B"/>
          <w:szCs w:val="24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zCs w:val="24"/>
          <w:shd w:val="clear" w:color="auto" w:fill="FFFFFF"/>
        </w:rPr>
        <w:t>28</w:t>
      </w:r>
      <w:r w:rsidRPr="00170A61">
        <w:rPr>
          <w:rFonts w:cs="Times New Roman"/>
          <w:color w:val="1B1B1B"/>
          <w:szCs w:val="24"/>
          <w:shd w:val="clear" w:color="auto" w:fill="FFFFFF"/>
        </w:rPr>
        <w:t xml:space="preserve">(4), 213–217. </w:t>
      </w:r>
      <w:hyperlink r:id="rId14" w:history="1">
        <w:r w:rsidRPr="00170A61">
          <w:rPr>
            <w:rStyle w:val="Hyperlink"/>
            <w:rFonts w:cs="Times New Roman"/>
            <w:szCs w:val="24"/>
            <w:shd w:val="clear" w:color="auto" w:fill="FFFFFF"/>
          </w:rPr>
          <w:t>https://doi.org/10.1136/bmjebm-2022-112068</w:t>
        </w:r>
      </w:hyperlink>
      <w:r w:rsidRPr="00170A61">
        <w:rPr>
          <w:rFonts w:cs="Times New Roman"/>
          <w:color w:val="1B1B1B"/>
          <w:szCs w:val="24"/>
          <w:shd w:val="clear" w:color="auto" w:fill="FFFFFF"/>
        </w:rPr>
        <w:t xml:space="preserve"> </w:t>
      </w:r>
    </w:p>
    <w:p w14:paraId="6A0596CA" w14:textId="77777777" w:rsidR="00170A61" w:rsidRPr="00170A61" w:rsidRDefault="00170A61" w:rsidP="005B0211">
      <w:pPr>
        <w:ind w:left="720" w:hanging="720"/>
        <w:rPr>
          <w:rFonts w:cs="Times New Roman"/>
          <w:color w:val="1B1B1B"/>
          <w:shd w:val="clear" w:color="auto" w:fill="FFFFFF"/>
        </w:rPr>
      </w:pPr>
      <w:r w:rsidRPr="00170A61">
        <w:rPr>
          <w:rFonts w:cs="Times New Roman"/>
          <w:color w:val="1B1B1B"/>
          <w:shd w:val="clear" w:color="auto" w:fill="FFFFFF"/>
        </w:rPr>
        <w:t xml:space="preserve">Philippe, T. J.,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Sikder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N., Jackson, A.,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Koblanski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M. E.,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Liow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E.,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Pilarinos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A., &amp; </w:t>
      </w:r>
      <w:proofErr w:type="spellStart"/>
      <w:r w:rsidRPr="00170A61">
        <w:rPr>
          <w:rFonts w:cs="Times New Roman"/>
          <w:color w:val="1B1B1B"/>
          <w:shd w:val="clear" w:color="auto" w:fill="FFFFFF"/>
        </w:rPr>
        <w:t>Vasarhelyi</w:t>
      </w:r>
      <w:proofErr w:type="spellEnd"/>
      <w:r w:rsidRPr="00170A61">
        <w:rPr>
          <w:rFonts w:cs="Times New Roman"/>
          <w:color w:val="1B1B1B"/>
          <w:shd w:val="clear" w:color="auto" w:fill="FFFFFF"/>
        </w:rPr>
        <w:t xml:space="preserve">, K. (2022). Digital </w:t>
      </w:r>
      <w:r w:rsidRPr="00170A61">
        <w:rPr>
          <w:rFonts w:cs="Times New Roman"/>
          <w:color w:val="1B1B1B"/>
          <w:shd w:val="clear" w:color="auto" w:fill="FFFFFF"/>
        </w:rPr>
        <w:t>health interventions for delivery of mental health care</w:t>
      </w:r>
      <w:r w:rsidRPr="00170A61">
        <w:rPr>
          <w:rFonts w:cs="Times New Roman"/>
          <w:color w:val="1B1B1B"/>
          <w:shd w:val="clear" w:color="auto" w:fill="FFFFFF"/>
        </w:rPr>
        <w:t xml:space="preserve">: Systematic </w:t>
      </w:r>
      <w:r w:rsidRPr="00170A61">
        <w:rPr>
          <w:rFonts w:cs="Times New Roman"/>
          <w:color w:val="1B1B1B"/>
          <w:shd w:val="clear" w:color="auto" w:fill="FFFFFF"/>
        </w:rPr>
        <w:t>and comprehensive meta-review</w:t>
      </w:r>
      <w:r w:rsidRPr="00170A61">
        <w:rPr>
          <w:rFonts w:cs="Times New Roman"/>
          <w:color w:val="1B1B1B"/>
          <w:shd w:val="clear" w:color="auto" w:fill="FFFFFF"/>
        </w:rPr>
        <w:t>.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 xml:space="preserve">JMIR 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Mental Health</w:t>
      </w:r>
      <w:r w:rsidRPr="00170A61">
        <w:rPr>
          <w:rFonts w:cs="Times New Roman"/>
          <w:color w:val="1B1B1B"/>
          <w:shd w:val="clear" w:color="auto" w:fill="FFFFFF"/>
        </w:rPr>
        <w:t>, </w:t>
      </w:r>
      <w:r w:rsidRPr="00170A61">
        <w:rPr>
          <w:rFonts w:cs="Times New Roman"/>
          <w:i/>
          <w:iCs/>
          <w:color w:val="1B1B1B"/>
          <w:shd w:val="clear" w:color="auto" w:fill="FFFFFF"/>
        </w:rPr>
        <w:t>9</w:t>
      </w:r>
      <w:r w:rsidRPr="00170A61">
        <w:rPr>
          <w:rFonts w:cs="Times New Roman"/>
          <w:color w:val="1B1B1B"/>
          <w:shd w:val="clear" w:color="auto" w:fill="FFFFFF"/>
        </w:rPr>
        <w:t xml:space="preserve">(5), e35159. </w:t>
      </w:r>
      <w:hyperlink r:id="rId15" w:history="1">
        <w:r w:rsidRPr="00170A61">
          <w:rPr>
            <w:rStyle w:val="Hyperlink"/>
            <w:rFonts w:cs="Times New Roman"/>
            <w:shd w:val="clear" w:color="auto" w:fill="FFFFFF"/>
          </w:rPr>
          <w:t>https://doi.org/10.2196/35159</w:t>
        </w:r>
      </w:hyperlink>
      <w:r w:rsidRPr="00170A61">
        <w:rPr>
          <w:rFonts w:cs="Times New Roman"/>
          <w:color w:val="1B1B1B"/>
          <w:shd w:val="clear" w:color="auto" w:fill="FFFFFF"/>
        </w:rPr>
        <w:t xml:space="preserve"> </w:t>
      </w:r>
    </w:p>
    <w:p w14:paraId="7376BA71" w14:textId="77777777" w:rsidR="00170A61" w:rsidRPr="00170A61" w:rsidRDefault="00170A61" w:rsidP="005B0211">
      <w:pPr>
        <w:ind w:left="720" w:hanging="720"/>
        <w:rPr>
          <w:rFonts w:cs="Times New Roman"/>
          <w:color w:val="212121"/>
          <w:shd w:val="clear" w:color="auto" w:fill="FFFFFF"/>
        </w:rPr>
      </w:pPr>
      <w:r w:rsidRPr="00170A61">
        <w:rPr>
          <w:rFonts w:cs="Times New Roman"/>
          <w:color w:val="212121"/>
          <w:shd w:val="clear" w:color="auto" w:fill="FFFFFF"/>
        </w:rPr>
        <w:t>Swenson, C., Ogilvie, S., &amp; Richardson, S. (2025). Mentorship and the advanced practice nurse: A concept analysis. </w:t>
      </w:r>
      <w:r w:rsidRPr="00170A61">
        <w:rPr>
          <w:rFonts w:cs="Times New Roman"/>
          <w:i/>
          <w:iCs/>
          <w:color w:val="212121"/>
          <w:shd w:val="clear" w:color="auto" w:fill="FFFFFF"/>
        </w:rPr>
        <w:t>Journal of the American Association of Nurse Practitioners</w:t>
      </w:r>
      <w:r w:rsidRPr="00170A61">
        <w:rPr>
          <w:rFonts w:cs="Times New Roman"/>
          <w:color w:val="212121"/>
          <w:shd w:val="clear" w:color="auto" w:fill="FFFFFF"/>
        </w:rPr>
        <w:t xml:space="preserve">, 10.1097/JXX.0000000000001135. Advance online publication. </w:t>
      </w:r>
      <w:hyperlink r:id="rId16" w:history="1">
        <w:r w:rsidRPr="00170A61">
          <w:rPr>
            <w:rStyle w:val="Hyperlink"/>
            <w:rFonts w:cs="Times New Roman"/>
            <w:shd w:val="clear" w:color="auto" w:fill="FFFFFF"/>
          </w:rPr>
          <w:t>https://doi.org/10.1097/JXX.0000000000001135</w:t>
        </w:r>
      </w:hyperlink>
      <w:r w:rsidRPr="00170A61">
        <w:rPr>
          <w:rFonts w:cs="Times New Roman"/>
          <w:color w:val="212121"/>
          <w:shd w:val="clear" w:color="auto" w:fill="FFFFFF"/>
        </w:rPr>
        <w:t xml:space="preserve"> </w:t>
      </w:r>
    </w:p>
    <w:sectPr w:rsidR="00170A61" w:rsidRPr="00170A61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15384" w14:textId="77777777" w:rsidR="00EE79BE" w:rsidRDefault="00EE79BE" w:rsidP="00170A61">
      <w:pPr>
        <w:spacing w:line="240" w:lineRule="auto"/>
      </w:pPr>
      <w:r>
        <w:separator/>
      </w:r>
    </w:p>
  </w:endnote>
  <w:endnote w:type="continuationSeparator" w:id="0">
    <w:p w14:paraId="67EDB8D1" w14:textId="77777777" w:rsidR="00EE79BE" w:rsidRDefault="00EE79BE" w:rsidP="00170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1AC21" w14:textId="77777777" w:rsidR="00EE79BE" w:rsidRDefault="00EE79BE" w:rsidP="00170A61">
      <w:pPr>
        <w:spacing w:line="240" w:lineRule="auto"/>
      </w:pPr>
      <w:r>
        <w:separator/>
      </w:r>
    </w:p>
  </w:footnote>
  <w:footnote w:type="continuationSeparator" w:id="0">
    <w:p w14:paraId="0E42D6D4" w14:textId="77777777" w:rsidR="00EE79BE" w:rsidRDefault="00EE79BE" w:rsidP="00170A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9E821" w14:textId="340315B3" w:rsidR="00170A61" w:rsidRDefault="00170A61">
    <w:pPr>
      <w:pStyle w:val="Header"/>
    </w:pP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85D"/>
    <w:rsid w:val="00170A61"/>
    <w:rsid w:val="002A541C"/>
    <w:rsid w:val="00447260"/>
    <w:rsid w:val="00457076"/>
    <w:rsid w:val="005B0211"/>
    <w:rsid w:val="00654FD2"/>
    <w:rsid w:val="006C0E06"/>
    <w:rsid w:val="0096185D"/>
    <w:rsid w:val="00B0772C"/>
    <w:rsid w:val="00C86C83"/>
    <w:rsid w:val="00E32AA2"/>
    <w:rsid w:val="00ED0BD5"/>
    <w:rsid w:val="00EE79BE"/>
    <w:rsid w:val="00FC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57876"/>
  <w15:chartTrackingRefBased/>
  <w15:docId w15:val="{9142ED11-7ED3-425B-A475-0AEF11E8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3">
    <w:name w:val="heading 3"/>
    <w:basedOn w:val="Normal"/>
    <w:link w:val="Heading3Char"/>
    <w:uiPriority w:val="9"/>
    <w:qFormat/>
    <w:rsid w:val="0096185D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6185D"/>
    <w:rPr>
      <w:rFonts w:eastAsia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unhideWhenUsed/>
    <w:rsid w:val="0096185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6185D"/>
    <w:rPr>
      <w:b/>
      <w:bCs/>
    </w:rPr>
  </w:style>
  <w:style w:type="character" w:styleId="Hyperlink">
    <w:name w:val="Hyperlink"/>
    <w:basedOn w:val="DefaultParagraphFont"/>
    <w:uiPriority w:val="99"/>
    <w:unhideWhenUsed/>
    <w:rsid w:val="00654F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4FD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70A6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A6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0A6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A6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7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89/fpsyg.2022.936181" TargetMode="External"/><Relationship Id="rId13" Type="http://schemas.openxmlformats.org/officeDocument/2006/relationships/hyperlink" Target="https://doi.org/10.2196/57615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oi.org/10.2147/JHL.S473636" TargetMode="External"/><Relationship Id="rId12" Type="http://schemas.openxmlformats.org/officeDocument/2006/relationships/hyperlink" Target="https://doi.org/10.3389/fpubh.2023.1156830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doi.org/10.1097/JXX.0000000000001135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acnnursing.org/Portals/0/PDFs/Publications/Essentials-2021.pdf" TargetMode="External"/><Relationship Id="rId11" Type="http://schemas.openxmlformats.org/officeDocument/2006/relationships/hyperlink" Target="https://doi.org/10.2196/34808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doi.org/10.2196/35159" TargetMode="External"/><Relationship Id="rId10" Type="http://schemas.openxmlformats.org/officeDocument/2006/relationships/hyperlink" Target="https://doi.org/10.1111/1475-6773.14202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doi.org/10.1016/j.mnl.2022.07.003" TargetMode="External"/><Relationship Id="rId14" Type="http://schemas.openxmlformats.org/officeDocument/2006/relationships/hyperlink" Target="https://doi.org/10.1136/bmjebm-2022-1120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2025-06-18T17:04:00Z</dcterms:created>
  <dcterms:modified xsi:type="dcterms:W3CDTF">2025-06-18T17:04:00Z</dcterms:modified>
</cp:coreProperties>
</file>